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I – CRITÉRIOS DE AVALIAÇÃO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A avaliação dos projetos e da capacidade técnica da equipe será com base nos critérios e na gradação de pontos estabelecidos abaixo: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1.1. Gradação de Pontos (Quadro I)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0  pontos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Não atende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0,1 a 5,0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Atende insuficientemente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5,1 a 7,5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Atende parcialmente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7,6 e 9,9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Atende satisfatoriamente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Atende plenamente ao critério</w:t>
            </w:r>
          </w:p>
        </w:tc>
      </w:tr>
    </w:tbl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 w:eastAsia="Times New Roman" w:cs="Calibri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 w:ascii="Calibri" w:hAnsi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  <w:t xml:space="preserve">1.2. </w:t>
      </w:r>
      <w:r>
        <w:rPr>
          <w:rFonts w:ascii="Calibri" w:hAnsi="Calibri"/>
          <w:color w:val="auto"/>
          <w:sz w:val="24"/>
          <w:szCs w:val="24"/>
        </w:rPr>
        <w:t>A análise deverá considerar, para fins de avaliação e valoração, se o conteúdo do projeto apresenta como um todo coerente, observando o objeto, a justificativa e as metas, sendo possível visualizar de forma clara os resultados que serão obtidos.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1.3 - Critérios de Mérito Cultural e Capacidade Técnica (Quadro II)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99"/>
        <w:gridCol w:w="4818"/>
        <w:gridCol w:w="3921"/>
      </w:tblGrid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ITEM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DESCRIÇÃO</w:t>
            </w:r>
          </w:p>
        </w:tc>
        <w:tc>
          <w:tcPr>
            <w:tcW w:w="3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PONTUAÇÃO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a)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Currículo da equipe técnica (com as devidas comprovações profissionais e acadêmicas)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b)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Qualidade gráfica do material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c)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Estrutura da apresentação (respeitando uma ordem lógica de introdução, desenvolvimento, conclusão e referências)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d)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Apresentação histórico-material do imóvel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e)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Objetivos e justificativa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f)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Apresentação das metodologias e sua coerência com os resultados esperados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g)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Apresentação da contrapartida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h)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Cronograma de execução de custos previstos a partir da categoria de imóvel escolhida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8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i)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Cronograma de execução do projeto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10</w:t>
            </w:r>
          </w:p>
        </w:tc>
      </w:tr>
      <w:tr>
        <w:trPr/>
        <w:tc>
          <w:tcPr>
            <w:tcW w:w="57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TOTAL GERAL DE PONTOS</w:t>
            </w:r>
          </w:p>
        </w:tc>
        <w:tc>
          <w:tcPr>
            <w:tcW w:w="39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90</w:t>
            </w:r>
          </w:p>
        </w:tc>
      </w:tr>
    </w:tbl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  <w:t>1.3.1</w:t>
      </w:r>
      <w:r>
        <w:rPr>
          <w:rFonts w:eastAsia="Times New Roman" w:cs="Calibri" w:ascii="Calibri" w:hAnsi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  <w:t xml:space="preserve"> Serão aceitos como comprovações profissionais e acadêmicas os seguintes documentos: certificados, diplomas devidamente reconhecido pelo MEC, declarações com firma reconhecida ou assinatura digital do GOV.BR ou afins, carteira de trabalho, projetos com a emissão de Registro de Responsabilidade Técnica emitidos através do conselho de classe, certidões de acervo técnico (CAT), contrato de trabalhos com firma reconhecida ou assinatura digital do GOV.BR ou afins.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2.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0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Havendo empate de pontuação entre as propostas classificadas, a Comissão de Avaliação Técnica promoverá o desempate com prioridade para a proposta que obtiver maior pontuação na soma dos critérios 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“a”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, caso persista o empate será considerada a maior pontuação na soma dos critérios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“b”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e, assim, sucessivamente.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2.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Serão desclassificados os projetos que não obtiverem o mínimo de 45 (quarenta e cinco) pontos, o equivalente a 50% do total máximo de pontuação dos critérios de avaliação previstos.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2.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2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. </w:t>
      </w:r>
      <w:bookmarkStart w:id="0" w:name="docs-internal-guid-9a6b8761-7fff-770c-7b"/>
      <w:bookmarkEnd w:id="0"/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Serão desclassificados os projetos que obtiverem zero em quaisquer um dos itens do quadro II do anexo I.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3.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Além da pontuação acima, o agente cultural poderá receber bônus de pontuação, ou seja, uma pontuação extra, conforme critérios abaixo especificados: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color w:val="auto"/>
        </w:rPr>
      </w:pPr>
      <w:r>
        <w:rPr/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4215"/>
        <w:gridCol w:w="2211"/>
      </w:tblGrid>
      <w:tr>
        <w:trPr/>
        <w:tc>
          <w:tcPr>
            <w:tcW w:w="74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PONTUAÇÃO EXTRA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PONTUAÇÃO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star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Equipes majoritariamente formadas por pessoas</w:t>
            </w:r>
          </w:p>
        </w:tc>
        <w:tc>
          <w:tcPr>
            <w:tcW w:w="4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Pessoas negras; pessoas indígenas; pessoas LGBTQIAPN+; mulheres; quilombolas, pessoas ciganas e pessoas com deficiência (PCD).</w:t>
            </w:r>
          </w:p>
        </w:tc>
        <w:tc>
          <w:tcPr>
            <w:tcW w:w="22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star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Equipes majoritariamente formadas por pessoas</w:t>
            </w:r>
          </w:p>
        </w:tc>
        <w:tc>
          <w:tcPr>
            <w:tcW w:w="4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Pessoas idosas, com idade igual ou superior a 60 (sessenta) anos;</w:t>
            </w:r>
          </w:p>
        </w:tc>
        <w:tc>
          <w:tcPr>
            <w:tcW w:w="22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star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Equipes majoritariamente formadas por pessoas</w:t>
            </w:r>
          </w:p>
        </w:tc>
        <w:tc>
          <w:tcPr>
            <w:tcW w:w="42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Com experiência acadêmica e/ou profissional devidamente comprovada na área objeto desse edital.</w:t>
            </w:r>
          </w:p>
        </w:tc>
        <w:tc>
          <w:tcPr>
            <w:tcW w:w="22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4</w:t>
            </w:r>
          </w:p>
        </w:tc>
      </w:tr>
      <w:tr>
        <w:trPr/>
        <w:tc>
          <w:tcPr>
            <w:tcW w:w="7427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TOTAL</w:t>
            </w:r>
          </w:p>
        </w:tc>
        <w:tc>
          <w:tcPr>
            <w:tcW w:w="22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59690</wp:posOffset>
          </wp:positionV>
          <wp:extent cx="5952490" cy="831215"/>
          <wp:effectExtent l="0" t="0" r="0" b="0"/>
          <wp:wrapSquare wrapText="largest"/>
          <wp:docPr id="5" name="Figura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59690</wp:posOffset>
          </wp:positionV>
          <wp:extent cx="5952490" cy="831215"/>
          <wp:effectExtent l="0" t="0" r="0" b="0"/>
          <wp:wrapSquare wrapText="largest"/>
          <wp:docPr id="6" name="Figura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9560 w 3673800"/>
                          <a:gd name="textAreaTop" fmla="*/ 0 h 4320"/>
                          <a:gd name="textAreaBottom" fmla="*/ 115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2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9560 w 3673800"/>
                          <a:gd name="textAreaTop" fmla="*/ 0 h 4320"/>
                          <a:gd name="textAreaBottom" fmla="*/ 115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4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8535</TotalTime>
  <Application>LibreOffice/24.2.0.3$Windows_X86_64 LibreOffice_project/da48488a73ddd66ea24cf16bbc4f7b9c08e9bea1</Application>
  <AppVersion>15.0000</AppVersion>
  <Pages>2</Pages>
  <Words>457</Words>
  <Characters>2620</Characters>
  <CharactersWithSpaces>3015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2025-02-10T16:17:04Z</dcterms:modified>
  <cp:revision>515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