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018/2024 -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[LITERATURA, CAPOEIRA E GRUPOS DE CULTURA POPULAR]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-433671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8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oxdEBMq4W99hjz17WQ/rUFjRQ==">CgMxLjA4AHIhMXpxa3NwN1pYYWVNQk82RFRDLUtlLXpUbWlOZ2JFY0hM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