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018/2024 -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[LITERATURA, CAPOEIRA E GRUPOS DE CULTURA POPULAR]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-441623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4505325</wp:posOffset>
          </wp:positionH>
          <wp:positionV relativeFrom="paragraph">
            <wp:posOffset>-302259</wp:posOffset>
          </wp:positionV>
          <wp:extent cx="1608773" cy="804386"/>
          <wp:effectExtent b="0" l="0" r="0" t="0"/>
          <wp:wrapNone/>
          <wp:docPr id="8711839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G4ZF4dOdh5JMhcDbVL3a4GWyQ==">CgMxLjA4AHIhMXBNR0lTU0JtdFdqN2JNdkcyVjFpSzZXZ3pFRnBYVmFP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