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018/2024 - PNAB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[LITERATURA, CAPOEIRA E GRUPOS DE CULTURA POPULAR]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E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F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0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-441625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-335279</wp:posOffset>
          </wp:positionV>
          <wp:extent cx="1608773" cy="804386"/>
          <wp:effectExtent b="0" l="0" r="0" t="0"/>
          <wp:wrapNone/>
          <wp:docPr id="1055277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inkX5ZSBIYIgdLYTUGFomvvlGw==">CgMxLjA4AHIhMTJUVDBkNUJfVW5JV2NQdlg1dHNQTDBrRjE5dV9ObEQz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