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XI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 Anexo III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013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013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orLq5yyn1cBYbdc3bWYnv81ug==">CgMxLjA4AHIhMXp4R1hTVmRLSnFzOGw3OEUzLU1TeTN6MUlXMDcwVm9F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