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3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SELEÇÃO PÚBLICA  006/2024 </w:t>
        <w:br w:type="textWrapping"/>
        <w:t xml:space="preserve"> CONTRATAÇÃO DE ARTISTAS E GRUPOS DE TRADIÇÃO DO MUNICÍPIO DO CRATO – PROJETO CULTURA NA EXPOCRATO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IV | DECLARAÇÃO COLETIVA DE 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/2024 -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contratação de artistas e grupos de tradição do município do Crato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– “PROJETO CULTURA NA EXPOCRATO”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mulheres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03/2024 -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wZ3LJzFh3Fso+VspT96HuX8M1A==">CgMxLjA4AHIhMW9VaDREOG1rTHVrdlB5QnNGRzUyYV9KU2t4VDVRRVhX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