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widowControl w:val="false"/>
        <w:spacing w:lineRule="auto" w:line="276"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spacing w:lineRule="auto" w:line="276"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</w:t>
      </w:r>
    </w:p>
    <w:p>
      <w:pPr>
        <w:pStyle w:val="Normal1"/>
        <w:widowControl w:val="false"/>
        <w:spacing w:lineRule="auto" w:line="276" w:before="0" w:after="120"/>
        <w:ind w:left="37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PARTES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PROCEDIMENTO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OBJETO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RECURSOS FINANCEIROS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APLICAÇÃO DOS RECURSOS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OBRIGAÇÕES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6.1 São obrigações do/da [NOME DO ÓRGÃO RESPONSÁVEL PELO EDITAL]: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transferir os recursos ao(a)AGENTE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orientar o(a) AGENTE CULTURAL sobre o procedimento para a prestação de informações dos recursos concedidos;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analisar e emitir parecer sobre os relatórios e sobre a prestação de informações apresentados pelo(a) AGENTE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zelar pelo fiel cumprimento deste termo de execução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adotar medidas saneadoras e corretivas quando houver inadimplemento;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monitorar o cumprimento pelo(a) AGENTE CULTURAL das obrigações previstas na CLÁUSULA 6.2.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6.2 São obrigações do(a) AGENTE CULTURAL: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executar a ação cultural aprovada;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aplicar os recursos concedidos pela Lei Paulo Gustavo na realização da ação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atender a qualquer solicitação regular feita pela Secretaria contar do recebimento da notificação;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VIII) não realizar despesa em data anterior ou posterior à vigência deste termo de execução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X) não utilizar os recursos para finalidade diversa da estabelecida no projeto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XI) executar a contrapartida conforme pactuado.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PRESTAÇÃO DE CONTAS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 O relatório de execução do objeto deverá ser entregue no prazo de 30 (trinta) dias contados do fim da vigência deste Termo.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7.2.1 O relatório de prestação de informações sobre o cumprimento do objeto deverá: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comprovar que foram alcançados os resultados da ação cultural;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conter a descrição das ações desenvolvidas para o cumprimento do objeto;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devolução parcial ou integral dos recursos ao erário;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apresentação de plano de ações compensatórias; ou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7.4.2 Nos casos em que estiver caracterizada má-fé do agente cultural, será imediatamente exigida a devolução de recursos ao erário, vedada a aceitação de plano de ações compensatórias.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ALTERAÇÃO DO TERMO DE EXECUÇÃO CULTURAL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8.1 A alteração do termo de execução cultural será formalizada por meio de termo aditivo.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8.2 A formalização de termo aditivo não será necessária nas seguintes hipóteses: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8.6 Nas hipóteses de alterações em que não seja necessário termo aditivo, poderá ser   realizado apostilamento.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TITULARIDADE DE BENS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EXTINÇÃO DO TERMO DE EXECUÇÃO CULTURAL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10.1 O presente Termo de Execução Cultural poderá ser: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extinto por decurso de prazo;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extinto, de comum acordo antes do prazo avençado, mediante Termo de Distrato;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descumprimento injustificado de cláusula deste instrumento;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c) violação da legislação aplicável;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d) cometimento de falhas reiteradas na execução;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e) má administração de recursos públicos;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f) constatação de falsidade ou fraude nas informações ou documentos apresentados;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g) não atendimento às recomendações ou determinações decorrentes da fiscalização;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h) outras hipóteses expressamente previstas na legislação aplicável.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SANÇÕES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MONITORAMENTO E CONTROLE DE RESULTADOS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VIGÊNCIA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14. PUBLICAÇÃO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14.1 O Extrato do Termo de Execução Cultural será publicado no [INFORMAR ONDE SERÁ PUBLICADO].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15. FORO</w:t>
      </w:r>
    </w:p>
    <w:p>
      <w:pPr>
        <w:pStyle w:val="Normal1"/>
        <w:widowControl w:val="false"/>
        <w:spacing w:lineRule="auto" w:line="276" w:before="0" w:after="1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>
      <w:pPr>
        <w:pStyle w:val="Normal1"/>
        <w:widowControl w:val="false"/>
        <w:spacing w:lineRule="auto" w:line="276" w:before="0" w:after="100"/>
        <w:ind w:left="10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Catunda/CE, [INDICAR DIA, MÊS E ANO].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órgão: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REPRESENTANTE]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Agente Cultural: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AGENTE CULTURAL]</w:t>
      </w:r>
    </w:p>
    <w:p>
      <w:pPr>
        <w:pStyle w:val="Normal1"/>
        <w:widowControl w:val="false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Normal1"/>
        <w:spacing w:lineRule="auto" w:line="290" w:before="0" w:after="188"/>
        <w:ind w:left="10" w:right="6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PROPONENTE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color w:val="252525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6</Pages>
  <Words>1760</Words>
  <Characters>9907</Characters>
  <CharactersWithSpaces>11566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2023-10-04T16:02:09Z</dcterms:modified>
  <cp:revision>7</cp:revision>
  <dc:subject/>
  <dc:title/>
</cp:coreProperties>
</file>